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711DD9" w14:paraId="452FB644" w14:textId="77777777" w:rsidTr="00FF60A0">
        <w:tc>
          <w:tcPr>
            <w:tcW w:w="5778" w:type="dxa"/>
            <w:shd w:val="clear" w:color="auto" w:fill="F2F2F2" w:themeFill="background1" w:themeFillShade="F2"/>
          </w:tcPr>
          <w:p w14:paraId="1845899A" w14:textId="77777777" w:rsidR="004C47D3" w:rsidRPr="004C47D3" w:rsidRDefault="004C47D3" w:rsidP="004C47D3">
            <w:pPr>
              <w:rPr>
                <w:b/>
                <w:bCs/>
                <w:sz w:val="40"/>
                <w:szCs w:val="40"/>
              </w:rPr>
            </w:pPr>
            <w:bookmarkStart w:id="0" w:name="AgendaTitle" w:colFirst="0" w:colLast="0"/>
            <w:r w:rsidRPr="004C47D3">
              <w:rPr>
                <w:b/>
                <w:bCs/>
                <w:sz w:val="40"/>
                <w:szCs w:val="40"/>
              </w:rPr>
              <w:t>Graduate Affairs Committee</w:t>
            </w:r>
          </w:p>
          <w:p w14:paraId="3EBC98A3" w14:textId="01880938" w:rsidR="004C47D3" w:rsidRPr="00711DD9" w:rsidRDefault="002E65D9" w:rsidP="004C47D3">
            <w:r>
              <w:rPr>
                <w:b/>
                <w:bCs/>
                <w:sz w:val="40"/>
                <w:szCs w:val="40"/>
              </w:rPr>
              <w:t>Minutes</w:t>
            </w:r>
          </w:p>
        </w:tc>
        <w:tc>
          <w:tcPr>
            <w:tcW w:w="5400" w:type="dxa"/>
            <w:shd w:val="clear" w:color="auto" w:fill="F2F2F2" w:themeFill="background1" w:themeFillShade="F2"/>
          </w:tcPr>
          <w:p w14:paraId="64387ED4" w14:textId="653AC903" w:rsidR="004C47D3" w:rsidRPr="00711DD9" w:rsidRDefault="004C47D3" w:rsidP="00FF60A0">
            <w:pPr>
              <w:rPr>
                <w:b/>
                <w:bCs/>
                <w:sz w:val="24"/>
                <w:szCs w:val="24"/>
              </w:rPr>
            </w:pPr>
            <w:bookmarkStart w:id="1" w:name="Logistics"/>
            <w:bookmarkEnd w:id="1"/>
            <w:r w:rsidRPr="00711DD9">
              <w:rPr>
                <w:b/>
                <w:bCs/>
                <w:sz w:val="24"/>
                <w:szCs w:val="24"/>
              </w:rPr>
              <w:t xml:space="preserve">Date: </w:t>
            </w:r>
            <w:r w:rsidR="00D21E52">
              <w:rPr>
                <w:b/>
                <w:bCs/>
                <w:sz w:val="24"/>
                <w:szCs w:val="24"/>
              </w:rPr>
              <w:t>October 28, 2025</w:t>
            </w:r>
          </w:p>
          <w:p w14:paraId="66666E25" w14:textId="16C56363" w:rsidR="004C47D3" w:rsidRPr="00711DD9" w:rsidRDefault="004C47D3" w:rsidP="00FF60A0">
            <w:pPr>
              <w:pStyle w:val="Standard1"/>
              <w:spacing w:before="0" w:after="0"/>
              <w:rPr>
                <w:b/>
                <w:sz w:val="24"/>
              </w:rPr>
            </w:pPr>
            <w:r w:rsidRPr="00711DD9">
              <w:rPr>
                <w:b/>
                <w:sz w:val="24"/>
              </w:rPr>
              <w:t xml:space="preserve">Time: </w:t>
            </w:r>
            <w:r w:rsidR="00C45F55">
              <w:rPr>
                <w:b/>
                <w:sz w:val="24"/>
              </w:rPr>
              <w:t>1:30 p.m.</w:t>
            </w:r>
          </w:p>
          <w:p w14:paraId="029C6733" w14:textId="74703A89" w:rsidR="004C47D3" w:rsidRPr="00711DD9" w:rsidRDefault="004C47D3" w:rsidP="00FF60A0">
            <w:pPr>
              <w:pStyle w:val="Standard1"/>
              <w:spacing w:before="0" w:after="0"/>
              <w:rPr>
                <w:b/>
                <w:sz w:val="24"/>
              </w:rPr>
            </w:pPr>
            <w:r w:rsidRPr="00711DD9">
              <w:rPr>
                <w:b/>
                <w:sz w:val="24"/>
              </w:rPr>
              <w:t xml:space="preserve">Location: </w:t>
            </w:r>
            <w:r w:rsidR="0028530A">
              <w:rPr>
                <w:b/>
                <w:sz w:val="24"/>
              </w:rPr>
              <w:t>Ashby Browsing Room</w:t>
            </w:r>
            <w:r w:rsidR="00C039FE">
              <w:rPr>
                <w:b/>
                <w:sz w:val="24"/>
              </w:rPr>
              <w:t xml:space="preserve"> (online available)</w:t>
            </w:r>
          </w:p>
        </w:tc>
      </w:tr>
      <w:bookmarkEnd w:id="0"/>
      <w:tr w:rsidR="004C47D3" w:rsidRPr="00711DD9" w14:paraId="33492B40" w14:textId="77777777" w:rsidTr="00FF60A0">
        <w:tc>
          <w:tcPr>
            <w:tcW w:w="11178" w:type="dxa"/>
            <w:gridSpan w:val="2"/>
          </w:tcPr>
          <w:p w14:paraId="52702506" w14:textId="77777777" w:rsidR="004C47D3" w:rsidRPr="00711DD9" w:rsidRDefault="004C47D3" w:rsidP="00FF60A0">
            <w:pPr>
              <w:pStyle w:val="Standard1"/>
            </w:pPr>
          </w:p>
        </w:tc>
      </w:tr>
      <w:tr w:rsidR="004C47D3" w:rsidRPr="00711DD9" w14:paraId="2409E138" w14:textId="77777777" w:rsidTr="00FF60A0">
        <w:tc>
          <w:tcPr>
            <w:tcW w:w="11178" w:type="dxa"/>
            <w:gridSpan w:val="2"/>
          </w:tcPr>
          <w:p w14:paraId="190D0873" w14:textId="531803D5" w:rsidR="004C47D3" w:rsidRPr="00711DD9" w:rsidRDefault="004C47D3" w:rsidP="00FF60A0">
            <w:pPr>
              <w:pStyle w:val="Standard1"/>
            </w:pPr>
            <w:bookmarkStart w:id="2" w:name="Names" w:colFirst="0" w:colLast="4"/>
            <w:r w:rsidRPr="00711DD9">
              <w:t xml:space="preserve">Meeting called by: Dr. </w:t>
            </w:r>
            <w:r w:rsidR="0028530A">
              <w:t>Rebecca Ellis</w:t>
            </w:r>
          </w:p>
        </w:tc>
      </w:tr>
      <w:bookmarkEnd w:id="2"/>
      <w:tr w:rsidR="004C47D3" w:rsidRPr="00711DD9" w14:paraId="0E8D8F5F" w14:textId="77777777" w:rsidTr="00FF60A0">
        <w:tc>
          <w:tcPr>
            <w:tcW w:w="11178" w:type="dxa"/>
            <w:gridSpan w:val="2"/>
          </w:tcPr>
          <w:p w14:paraId="2A11F916" w14:textId="77777777" w:rsidR="004C47D3" w:rsidRPr="00711DD9" w:rsidRDefault="004C47D3" w:rsidP="00FF60A0">
            <w:pPr>
              <w:pStyle w:val="Standard1"/>
              <w:ind w:right="1404"/>
            </w:pPr>
          </w:p>
        </w:tc>
      </w:tr>
      <w:tr w:rsidR="004C47D3" w:rsidRPr="00711DD9" w14:paraId="142815D8" w14:textId="77777777" w:rsidTr="00FF60A0">
        <w:tc>
          <w:tcPr>
            <w:tcW w:w="11178" w:type="dxa"/>
            <w:gridSpan w:val="2"/>
          </w:tcPr>
          <w:p w14:paraId="67C1E2D6" w14:textId="77777777" w:rsidR="004C47D3" w:rsidRPr="00711DD9" w:rsidRDefault="004C47D3" w:rsidP="00FF60A0">
            <w:pPr>
              <w:pStyle w:val="Standard1"/>
            </w:pPr>
            <w:r w:rsidRPr="00711DD9">
              <w:t xml:space="preserve">Attendees: </w:t>
            </w:r>
          </w:p>
        </w:tc>
      </w:tr>
      <w:tr w:rsidR="004C47D3" w:rsidRPr="00711DD9" w14:paraId="423AB223" w14:textId="77777777" w:rsidTr="00FF60A0">
        <w:trPr>
          <w:trHeight w:val="171"/>
        </w:trPr>
        <w:tc>
          <w:tcPr>
            <w:tcW w:w="11178" w:type="dxa"/>
            <w:gridSpan w:val="2"/>
          </w:tcPr>
          <w:p w14:paraId="60DABABC" w14:textId="4B6F583D" w:rsidR="004C47D3" w:rsidRPr="0041226E" w:rsidRDefault="00E8523D" w:rsidP="00FF60A0">
            <w:pPr>
              <w:rPr>
                <w:sz w:val="28"/>
                <w:szCs w:val="28"/>
              </w:rPr>
            </w:pPr>
            <w:bookmarkStart w:id="3" w:name="Attendees" w:colFirst="0" w:colLast="2"/>
            <w:r w:rsidRPr="000B205A">
              <w:t>Rebecca Ellis</w:t>
            </w:r>
            <w:r w:rsidR="004C47D3" w:rsidRPr="000B205A">
              <w:t xml:space="preserve"> (Chair), </w:t>
            </w:r>
            <w:r w:rsidR="00641467" w:rsidRPr="000B205A">
              <w:t xml:space="preserve">Kyle Anderson, </w:t>
            </w:r>
            <w:r w:rsidR="008244E7" w:rsidRPr="000B205A">
              <w:t xml:space="preserve">Fredrik Andersson, </w:t>
            </w:r>
            <w:r w:rsidR="00641467" w:rsidRPr="000B205A">
              <w:t xml:space="preserve">Keith Avin, Kathi Badertscher, Tabitha Hardy, Cleveland Hayes, Dawn Holder, Thomas Hurley, Amelia Hurt, </w:t>
            </w:r>
            <w:r w:rsidR="00A263BE" w:rsidRPr="000B205A">
              <w:t xml:space="preserve">Kathleen Kent, </w:t>
            </w:r>
            <w:r w:rsidR="00641467" w:rsidRPr="000B205A">
              <w:t xml:space="preserve">Frank Lippert, Kim Lewis, Sara Lowe, Karl MacDorman, </w:t>
            </w:r>
            <w:r w:rsidR="00023A7D" w:rsidRPr="000B205A">
              <w:t xml:space="preserve">Kevin McCracken, </w:t>
            </w:r>
            <w:r w:rsidR="00641467" w:rsidRPr="000B205A">
              <w:t xml:space="preserve">Kyle Minor, Jennifer Piatt, </w:t>
            </w:r>
            <w:r w:rsidR="001C2BAF" w:rsidRPr="000B205A">
              <w:t xml:space="preserve">Barbara Pierce, </w:t>
            </w:r>
            <w:r w:rsidR="00641467" w:rsidRPr="000B205A">
              <w:t xml:space="preserve">Christine Picard, </w:t>
            </w:r>
            <w:r w:rsidR="008244E7" w:rsidRPr="000B205A">
              <w:t xml:space="preserve">Sonja Rice, </w:t>
            </w:r>
            <w:r w:rsidR="00641467" w:rsidRPr="000B205A">
              <w:t>Zach Riley, Randall Roper,</w:t>
            </w:r>
            <w:r w:rsidR="004D5CFD" w:rsidRPr="000B205A">
              <w:t xml:space="preserve"> Anita Sale,</w:t>
            </w:r>
            <w:r w:rsidR="008244E7" w:rsidRPr="000B205A">
              <w:t xml:space="preserve"> </w:t>
            </w:r>
            <w:r w:rsidR="00641467" w:rsidRPr="000B205A">
              <w:t>Kelly Sumner,</w:t>
            </w:r>
            <w:r w:rsidRPr="000B205A">
              <w:t xml:space="preserve"> </w:t>
            </w:r>
            <w:r w:rsidR="00C4131F" w:rsidRPr="000B205A">
              <w:t xml:space="preserve">Jane Williams, </w:t>
            </w:r>
            <w:r w:rsidR="00641467" w:rsidRPr="000B205A">
              <w:t xml:space="preserve">Yan Zhuang, </w:t>
            </w:r>
            <w:r w:rsidR="004C47D3" w:rsidRPr="000B205A">
              <w:t xml:space="preserve"> Staff: Dezra Despain</w:t>
            </w:r>
            <w:r w:rsidR="004C47D3">
              <w:t xml:space="preserve"> </w:t>
            </w:r>
          </w:p>
        </w:tc>
      </w:tr>
      <w:bookmarkEnd w:id="3"/>
      <w:tr w:rsidR="004C47D3" w:rsidRPr="00711DD9" w14:paraId="42B65F6A" w14:textId="77777777" w:rsidTr="00FF60A0">
        <w:tc>
          <w:tcPr>
            <w:tcW w:w="11178" w:type="dxa"/>
            <w:gridSpan w:val="2"/>
          </w:tcPr>
          <w:p w14:paraId="60D0BB82" w14:textId="0FD0F602" w:rsidR="004C47D3" w:rsidRPr="00711DD9" w:rsidRDefault="009B3AE5" w:rsidP="00FF60A0">
            <w:pPr>
              <w:pStyle w:val="Standard1"/>
            </w:pPr>
            <w:r w:rsidRPr="00711DD9">
              <w:t>Guests:</w:t>
            </w:r>
            <w:r>
              <w:t xml:space="preserve"> Kim Barron, AVP for Academic Effectiveness</w:t>
            </w:r>
          </w:p>
        </w:tc>
      </w:tr>
    </w:tbl>
    <w:p w14:paraId="15C520EE" w14:textId="77777777" w:rsidR="006C578B"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14:paraId="380C4464" w14:textId="77777777" w:rsidTr="008D5847">
        <w:tc>
          <w:tcPr>
            <w:tcW w:w="11178" w:type="dxa"/>
            <w:gridSpan w:val="2"/>
            <w:shd w:val="clear" w:color="auto" w:fill="F2F2F2" w:themeFill="background1" w:themeFillShade="F2"/>
          </w:tcPr>
          <w:p w14:paraId="561D2B20" w14:textId="620CC842" w:rsidR="001276C3" w:rsidRDefault="002E65D9" w:rsidP="006C578B">
            <w:pPr>
              <w:pStyle w:val="Standard1"/>
              <w:rPr>
                <w:b/>
                <w:sz w:val="36"/>
              </w:rPr>
            </w:pPr>
            <w:bookmarkStart w:id="4" w:name="Topics"/>
            <w:bookmarkEnd w:id="4"/>
            <w:r>
              <w:rPr>
                <w:b/>
                <w:sz w:val="36"/>
              </w:rPr>
              <w:t>Minutes</w:t>
            </w:r>
          </w:p>
        </w:tc>
      </w:tr>
      <w:tr w:rsidR="001276C3" w14:paraId="02B039BA" w14:textId="77777777" w:rsidTr="008D5847">
        <w:tc>
          <w:tcPr>
            <w:tcW w:w="9828" w:type="dxa"/>
          </w:tcPr>
          <w:p w14:paraId="49A87B08" w14:textId="06C5A8B2" w:rsidR="001276C3" w:rsidRDefault="001276C3" w:rsidP="006C578B">
            <w:pPr>
              <w:pStyle w:val="Standard1"/>
            </w:pPr>
            <w:r>
              <w:t xml:space="preserve">Approval of the Minutes for </w:t>
            </w:r>
            <w:r w:rsidR="00D21E52">
              <w:t>September 23, 2025</w:t>
            </w:r>
            <w:r w:rsidR="00A11B8B">
              <w:t xml:space="preserve"> - Approved</w:t>
            </w:r>
          </w:p>
        </w:tc>
        <w:tc>
          <w:tcPr>
            <w:tcW w:w="1350" w:type="dxa"/>
          </w:tcPr>
          <w:p w14:paraId="5F84BF6A" w14:textId="4B3B8DDA" w:rsidR="001276C3" w:rsidRDefault="00E8523D" w:rsidP="006C578B">
            <w:pPr>
              <w:pStyle w:val="Standard1"/>
              <w:tabs>
                <w:tab w:val="left" w:pos="72"/>
                <w:tab w:val="left" w:pos="2116"/>
              </w:tabs>
              <w:jc w:val="right"/>
            </w:pPr>
            <w:r>
              <w:t>Ellis</w:t>
            </w:r>
          </w:p>
        </w:tc>
      </w:tr>
      <w:tr w:rsidR="001276C3" w14:paraId="0764BEB8" w14:textId="77777777" w:rsidTr="008D5847">
        <w:tc>
          <w:tcPr>
            <w:tcW w:w="9828" w:type="dxa"/>
          </w:tcPr>
          <w:p w14:paraId="01257D73" w14:textId="77777777" w:rsidR="001276C3" w:rsidRPr="00A11B8B" w:rsidRDefault="001276C3" w:rsidP="006C578B">
            <w:pPr>
              <w:pStyle w:val="Standard1"/>
            </w:pPr>
            <w:r w:rsidRPr="00A11B8B">
              <w:t xml:space="preserve">Dean's </w:t>
            </w:r>
            <w:r w:rsidR="0014692B" w:rsidRPr="00A11B8B">
              <w:t>Welcome and remarks</w:t>
            </w:r>
          </w:p>
          <w:p w14:paraId="139676C9" w14:textId="52CAA38A" w:rsidR="00A11B8B" w:rsidRPr="00A11B8B" w:rsidRDefault="00A11B8B" w:rsidP="00A11B8B">
            <w:pPr>
              <w:ind w:left="360"/>
              <w:rPr>
                <w:rFonts w:eastAsiaTheme="minorHAnsi"/>
                <w:b/>
                <w:bCs/>
              </w:rPr>
            </w:pPr>
            <w:r w:rsidRPr="00A11B8B">
              <w:t>The G</w:t>
            </w:r>
            <w:r>
              <w:t xml:space="preserve">raduate </w:t>
            </w:r>
            <w:r w:rsidRPr="00A11B8B">
              <w:t>F</w:t>
            </w:r>
            <w:r>
              <w:t xml:space="preserve">aculty </w:t>
            </w:r>
            <w:r w:rsidRPr="00A11B8B">
              <w:t>C</w:t>
            </w:r>
            <w:r>
              <w:t>ouncil (GFC)</w:t>
            </w:r>
            <w:r w:rsidRPr="00A11B8B">
              <w:t xml:space="preserve"> is currently discussing two potential policy changes: transfer credit and the minor as a requirement in the PhD program</w:t>
            </w:r>
          </w:p>
          <w:p w14:paraId="3D8D22C3" w14:textId="07EC6976" w:rsidR="00A11B8B" w:rsidRPr="00A11B8B" w:rsidRDefault="00A11B8B" w:rsidP="00A11B8B">
            <w:pPr>
              <w:pStyle w:val="ListParagraph"/>
              <w:numPr>
                <w:ilvl w:val="0"/>
                <w:numId w:val="9"/>
              </w:numPr>
              <w:rPr>
                <w:rFonts w:ascii="Times New Roman" w:hAnsi="Times New Roman" w:cs="Times New Roman"/>
                <w:b/>
                <w:bCs/>
                <w:sz w:val="20"/>
                <w:szCs w:val="20"/>
              </w:rPr>
            </w:pPr>
            <w:r w:rsidRPr="00A11B8B">
              <w:rPr>
                <w:rFonts w:ascii="Times New Roman" w:hAnsi="Times New Roman" w:cs="Times New Roman"/>
                <w:sz w:val="20"/>
                <w:szCs w:val="20"/>
              </w:rPr>
              <w:t>Transfer Credit Policy:</w:t>
            </w:r>
            <w:r w:rsidRPr="00A11B8B">
              <w:rPr>
                <w:rFonts w:ascii="Times New Roman" w:hAnsi="Times New Roman" w:cs="Times New Roman"/>
                <w:b/>
                <w:bCs/>
                <w:sz w:val="20"/>
                <w:szCs w:val="20"/>
              </w:rPr>
              <w:t xml:space="preserve"> </w:t>
            </w:r>
            <w:r w:rsidRPr="00A11B8B">
              <w:rPr>
                <w:rFonts w:ascii="Times New Roman" w:hAnsi="Times New Roman" w:cs="Times New Roman"/>
                <w:sz w:val="20"/>
                <w:szCs w:val="20"/>
              </w:rPr>
              <w:t xml:space="preserve">GFC is reviewing whether credits from professional school terminal degrees (e.g., clinical doctorates) can transfer into PhD programs. Current rules disallow this, unlike previous master’s-level equivalents, potentially impacting enrollment and competitiveness. </w:t>
            </w:r>
          </w:p>
          <w:p w14:paraId="6A7B5A95" w14:textId="77777777" w:rsidR="00A11B8B" w:rsidRPr="00A11B8B" w:rsidRDefault="00A11B8B" w:rsidP="00A11B8B">
            <w:pPr>
              <w:pStyle w:val="ListParagraph"/>
              <w:numPr>
                <w:ilvl w:val="0"/>
                <w:numId w:val="9"/>
              </w:numPr>
              <w:rPr>
                <w:rFonts w:ascii="Times New Roman" w:hAnsi="Times New Roman" w:cs="Times New Roman"/>
                <w:sz w:val="20"/>
                <w:szCs w:val="20"/>
              </w:rPr>
            </w:pPr>
            <w:r w:rsidRPr="00A11B8B">
              <w:rPr>
                <w:rFonts w:ascii="Times New Roman" w:hAnsi="Times New Roman" w:cs="Times New Roman"/>
                <w:sz w:val="20"/>
                <w:szCs w:val="20"/>
              </w:rPr>
              <w:t>PhD Minor Requirement: Options under consideration include keeping the minor mandatory, making it optional, or removing it. Concerns include limited course availability, unclear minor options, and superficial internal minors. Feedback is being collected via GFC reps and a dean survey.</w:t>
            </w:r>
          </w:p>
          <w:p w14:paraId="194EF015" w14:textId="7A9BAD72" w:rsidR="00A11B8B" w:rsidRPr="00A11B8B" w:rsidRDefault="00A11B8B" w:rsidP="00A11B8B">
            <w:pPr>
              <w:spacing w:after="120"/>
            </w:pPr>
            <w:r w:rsidRPr="00A11B8B">
              <w:t>A request has been made to maintain last year’s Block Grant funding level. Focus is shifting from application to outcome tracking, with efforts to trace even small amounts of funding to student support and establish long-term tracking of recipients.</w:t>
            </w:r>
          </w:p>
          <w:p w14:paraId="045D02F7" w14:textId="13D67985" w:rsidR="00A11B8B" w:rsidRPr="00A11B8B" w:rsidRDefault="00A11B8B" w:rsidP="00A11B8B">
            <w:pPr>
              <w:spacing w:after="120"/>
            </w:pPr>
            <w:r w:rsidRPr="00A11B8B">
              <w:t xml:space="preserve">The Graduate School and OIA are reviewing the English </w:t>
            </w:r>
            <w:r>
              <w:t>for Academic Purposes p</w:t>
            </w:r>
            <w:r w:rsidRPr="00A11B8B">
              <w:t xml:space="preserve">rogram. A report has been requested on student outcomes, TOEFL placement, and admissions paths, with </w:t>
            </w:r>
            <w:r>
              <w:t>EAP</w:t>
            </w:r>
            <w:r w:rsidRPr="00A11B8B">
              <w:t xml:space="preserve"> director Estela </w:t>
            </w:r>
            <w:r>
              <w:t>Ene</w:t>
            </w:r>
            <w:r w:rsidRPr="00A11B8B">
              <w:t xml:space="preserve"> invited to engage with the GAC.</w:t>
            </w:r>
          </w:p>
          <w:p w14:paraId="7F476D15" w14:textId="77777777" w:rsidR="00A11B8B" w:rsidRPr="00A11B8B" w:rsidRDefault="00A11B8B" w:rsidP="00A11B8B">
            <w:pPr>
              <w:spacing w:after="120"/>
            </w:pPr>
            <w:r w:rsidRPr="00A11B8B">
              <w:t>Milestone tracking is underway, assessing student progress school-by-school.</w:t>
            </w:r>
          </w:p>
          <w:p w14:paraId="3DA33D7B" w14:textId="488658BA" w:rsidR="00A11B8B" w:rsidRPr="00A11B8B" w:rsidRDefault="00A11B8B" w:rsidP="00A11B8B">
            <w:pPr>
              <w:spacing w:after="120"/>
            </w:pPr>
            <w:r w:rsidRPr="00A11B8B">
              <w:t>An ad hoc committee will evaluate the GAC’s structure and its connection to campus governance, as it currently lacks formal ties to bodies like the I</w:t>
            </w:r>
            <w:r>
              <w:t xml:space="preserve">ndianapolis </w:t>
            </w:r>
            <w:r w:rsidRPr="00A11B8B">
              <w:t>F</w:t>
            </w:r>
            <w:r>
              <w:t xml:space="preserve">aculty </w:t>
            </w:r>
            <w:r w:rsidRPr="00A11B8B">
              <w:t>C</w:t>
            </w:r>
            <w:r>
              <w:t>ouncil</w:t>
            </w:r>
            <w:r w:rsidRPr="00A11B8B">
              <w:t xml:space="preserve"> and GFC.</w:t>
            </w:r>
          </w:p>
        </w:tc>
        <w:tc>
          <w:tcPr>
            <w:tcW w:w="1350" w:type="dxa"/>
          </w:tcPr>
          <w:p w14:paraId="3A7A7845" w14:textId="3330EF4F" w:rsidR="001276C3" w:rsidRDefault="00E8523D" w:rsidP="006C578B">
            <w:pPr>
              <w:pStyle w:val="Standard1"/>
              <w:tabs>
                <w:tab w:val="left" w:pos="72"/>
                <w:tab w:val="left" w:pos="2116"/>
              </w:tabs>
              <w:jc w:val="right"/>
            </w:pPr>
            <w:r>
              <w:t>Ellis</w:t>
            </w:r>
          </w:p>
        </w:tc>
      </w:tr>
      <w:tr w:rsidR="003B207C" w14:paraId="5BF4C64F" w14:textId="77777777" w:rsidTr="008D5847">
        <w:tc>
          <w:tcPr>
            <w:tcW w:w="9828" w:type="dxa"/>
          </w:tcPr>
          <w:p w14:paraId="412760EF" w14:textId="624DCFD3" w:rsidR="009B3AE5" w:rsidRDefault="009B3AE5" w:rsidP="006C578B">
            <w:pPr>
              <w:pStyle w:val="Standard1"/>
            </w:pPr>
            <w:r>
              <w:t>1:30 p.m.  Kim Barron, AVP for Academic Effectiveness will speak about how the program review process intersects with the GAC.</w:t>
            </w:r>
          </w:p>
          <w:p w14:paraId="6A964894" w14:textId="77777777" w:rsidR="00BC189A" w:rsidRDefault="00BC189A" w:rsidP="00BC189A">
            <w:pPr>
              <w:pStyle w:val="Standard1"/>
            </w:pPr>
            <w:r>
              <w:t>Kim Barron’s team serves as a support unit focused on accreditation, assessment, planning, data, and program review</w:t>
            </w:r>
          </w:p>
          <w:p w14:paraId="0A5AE1F1" w14:textId="23575036" w:rsidR="00BC189A" w:rsidRDefault="00BC189A" w:rsidP="00BC189A">
            <w:pPr>
              <w:pStyle w:val="Standard1"/>
            </w:pPr>
            <w:r>
              <w:t>Program review assesses program quality and effectiveness to ensure alignment with strategic priorities, identify strengths and challenges, and lead to actionable planning. The provost attends all final program review meetings and is highly engaged in the process</w:t>
            </w:r>
          </w:p>
          <w:p w14:paraId="54EB2155" w14:textId="77777777" w:rsidR="00BC189A" w:rsidRDefault="00BC189A" w:rsidP="00BC189A">
            <w:pPr>
              <w:pStyle w:val="Standard1"/>
            </w:pPr>
            <w:r>
              <w:t>The Higher Learning Commission (HLC) maintains expectations for program review, emphasizing the need for clear differentiation between undergraduate and graduate level student learning outcomes (SLOs)</w:t>
            </w:r>
          </w:p>
          <w:p w14:paraId="24723758" w14:textId="77777777" w:rsidR="00BC189A" w:rsidRDefault="00BC189A" w:rsidP="00BC189A">
            <w:pPr>
              <w:pStyle w:val="Standard1"/>
            </w:pPr>
            <w:r>
              <w:t>Previously exempt, accredited programs must now participate in the institutional program review due to state and HLC requirements. The intent is to satisfy this requirement by using the program's accreditation self-study and review reports, pairing them with the institutional template, without forcing them to conduct a full second review</w:t>
            </w:r>
          </w:p>
          <w:p w14:paraId="45D2BDD3" w14:textId="77777777" w:rsidR="00BC189A" w:rsidRDefault="00BC189A" w:rsidP="00BC189A">
            <w:pPr>
              <w:pStyle w:val="Standard1"/>
            </w:pPr>
            <w:r>
              <w:t>The PRAC reporting process is being streamlined, asking for specific information on SLOs, so that PRAC reporting feeds into the Program Review or accreditation review template</w:t>
            </w:r>
          </w:p>
          <w:p w14:paraId="0DFB3F7E" w14:textId="00E29BC2" w:rsidR="00BC189A" w:rsidRDefault="00BC189A" w:rsidP="00BC189A">
            <w:pPr>
              <w:pStyle w:val="Standard1"/>
            </w:pPr>
            <w:r>
              <w:t>Barron’s office works quickly to submit notifications or approvals to the HLC for program actions (e.g., credit hour changes, mergers, significant curricular changes) to keep the institution in the HLC notification world, avoiding the lengthy approval world</w:t>
            </w:r>
          </w:p>
          <w:p w14:paraId="28B97326" w14:textId="77777777" w:rsidR="003B207C" w:rsidRDefault="003B207C" w:rsidP="006C578B">
            <w:pPr>
              <w:pStyle w:val="Standard1"/>
            </w:pPr>
            <w:r>
              <w:t>Discussions</w:t>
            </w:r>
            <w:r w:rsidR="00D00EB1">
              <w:t>:</w:t>
            </w:r>
          </w:p>
          <w:p w14:paraId="598EEECD" w14:textId="7F4AE097" w:rsidR="009B3AE5" w:rsidRDefault="009B3AE5" w:rsidP="009B3AE5">
            <w:pPr>
              <w:pStyle w:val="Standard1"/>
              <w:numPr>
                <w:ilvl w:val="0"/>
                <w:numId w:val="8"/>
              </w:numPr>
            </w:pPr>
            <w:r>
              <w:lastRenderedPageBreak/>
              <w:t>Grade replacement</w:t>
            </w:r>
          </w:p>
        </w:tc>
        <w:tc>
          <w:tcPr>
            <w:tcW w:w="1350" w:type="dxa"/>
          </w:tcPr>
          <w:p w14:paraId="5B6C11D4" w14:textId="77777777" w:rsidR="003B207C" w:rsidRDefault="003B207C" w:rsidP="006C578B">
            <w:pPr>
              <w:pStyle w:val="Standard1"/>
              <w:tabs>
                <w:tab w:val="left" w:pos="72"/>
                <w:tab w:val="left" w:pos="2116"/>
              </w:tabs>
              <w:jc w:val="right"/>
            </w:pPr>
          </w:p>
        </w:tc>
      </w:tr>
      <w:tr w:rsidR="003B207C" w14:paraId="594B5405" w14:textId="77777777" w:rsidTr="008D5847">
        <w:tc>
          <w:tcPr>
            <w:tcW w:w="9828" w:type="dxa"/>
          </w:tcPr>
          <w:p w14:paraId="559C6663" w14:textId="29AD459A" w:rsidR="003B207C" w:rsidRDefault="003B207C" w:rsidP="006C578B">
            <w:pPr>
              <w:pStyle w:val="Standard1"/>
            </w:pPr>
            <w:r>
              <w:t>The following reports were distributed</w:t>
            </w:r>
            <w:r w:rsidR="00722FD1">
              <w:t>:</w:t>
            </w:r>
          </w:p>
          <w:p w14:paraId="362F7531" w14:textId="77777777" w:rsidR="00722FD1" w:rsidRPr="00722FD1" w:rsidRDefault="003B207C" w:rsidP="00722FD1">
            <w:pPr>
              <w:pStyle w:val="Standard1"/>
              <w:spacing w:after="120"/>
              <w:ind w:left="360"/>
              <w:rPr>
                <w:b/>
                <w:bCs/>
                <w:i/>
                <w:iCs/>
              </w:rPr>
            </w:pPr>
            <w:r w:rsidRPr="00722FD1">
              <w:rPr>
                <w:i/>
                <w:iCs/>
              </w:rPr>
              <w:t>Associate Dean’s report (Keith Avin)</w:t>
            </w:r>
            <w:r w:rsidR="00C91E9E" w:rsidRPr="00722FD1">
              <w:rPr>
                <w:i/>
                <w:iCs/>
              </w:rPr>
              <w:t xml:space="preserve">: </w:t>
            </w:r>
            <w:r w:rsidR="00722FD1" w:rsidRPr="00722FD1">
              <w:rPr>
                <w:rFonts w:asciiTheme="minorHAnsi" w:eastAsiaTheme="minorHAnsi" w:hAnsiTheme="minorHAnsi" w:cstheme="minorBidi"/>
                <w:b/>
                <w:bCs/>
                <w:i/>
                <w:iCs/>
                <w:sz w:val="22"/>
                <w:szCs w:val="22"/>
              </w:rPr>
              <w:t xml:space="preserve"> </w:t>
            </w:r>
          </w:p>
          <w:p w14:paraId="24D3497B" w14:textId="77348DC3" w:rsidR="00722FD1" w:rsidRPr="00722FD1" w:rsidRDefault="00722FD1" w:rsidP="00722FD1">
            <w:pPr>
              <w:pStyle w:val="Standard1"/>
              <w:spacing w:after="120"/>
              <w:ind w:left="360"/>
            </w:pPr>
            <w:r w:rsidRPr="00722FD1">
              <w:t xml:space="preserve">We are currently evaluating new degree proposal rubric and related procedures and policies. The goal is to create a structured evaluation process that coordinates with </w:t>
            </w:r>
            <w:proofErr w:type="spellStart"/>
            <w:r w:rsidRPr="00722FD1">
              <w:t>CourseLeaf</w:t>
            </w:r>
            <w:proofErr w:type="spellEnd"/>
            <w:r w:rsidRPr="00722FD1">
              <w:t xml:space="preserve"> and Stellic. </w:t>
            </w:r>
          </w:p>
          <w:p w14:paraId="7773254C" w14:textId="2E669FED" w:rsidR="00722FD1" w:rsidRPr="00722FD1" w:rsidRDefault="00722FD1" w:rsidP="00722FD1">
            <w:pPr>
              <w:pStyle w:val="Standard1"/>
              <w:spacing w:after="120"/>
              <w:ind w:left="360"/>
            </w:pPr>
            <w:r w:rsidRPr="00722FD1">
              <w:t xml:space="preserve">The gac@iu.edu email continues to serve as the primary contact point for Graduate School-related Stellic questions and issues. To date there have been processes and timing questions but void of major issues. </w:t>
            </w:r>
          </w:p>
          <w:p w14:paraId="780B85F6" w14:textId="77777777" w:rsidR="00722FD1" w:rsidRPr="00722FD1" w:rsidRDefault="00722FD1" w:rsidP="00722FD1">
            <w:pPr>
              <w:pStyle w:val="Standard1"/>
              <w:spacing w:after="120"/>
              <w:ind w:left="360"/>
            </w:pPr>
            <w:r w:rsidRPr="00722FD1">
              <w:t>The search for the Director of Operations and Enrollment is ongoing.</w:t>
            </w:r>
          </w:p>
          <w:p w14:paraId="4C5B646B" w14:textId="692837FB" w:rsidR="00722FD1" w:rsidRPr="00722FD1" w:rsidRDefault="003B207C" w:rsidP="00722FD1">
            <w:pPr>
              <w:pStyle w:val="Standard1"/>
              <w:spacing w:after="120"/>
              <w:ind w:left="360"/>
              <w:rPr>
                <w:i/>
                <w:iCs/>
              </w:rPr>
            </w:pPr>
            <w:r w:rsidRPr="00722FD1">
              <w:rPr>
                <w:i/>
                <w:iCs/>
              </w:rPr>
              <w:t>Assistant Dean’s report (Tabitha Hardy</w:t>
            </w:r>
            <w:r w:rsidR="00722FD1" w:rsidRPr="00722FD1">
              <w:rPr>
                <w:i/>
                <w:iCs/>
              </w:rPr>
              <w:t>)</w:t>
            </w:r>
          </w:p>
          <w:p w14:paraId="36C5CBCE" w14:textId="08E27393" w:rsidR="00722FD1" w:rsidRPr="00722FD1" w:rsidRDefault="00722FD1" w:rsidP="00722FD1">
            <w:pPr>
              <w:spacing w:after="120"/>
              <w:ind w:left="330"/>
            </w:pPr>
            <w:r w:rsidRPr="00722FD1">
              <w:t>Nomination for “Elite 50” are open now through Dec. 14</w:t>
            </w:r>
            <w:r w:rsidRPr="00722FD1">
              <w:rPr>
                <w:vertAlign w:val="superscript"/>
              </w:rPr>
              <w:t>th</w:t>
            </w:r>
            <w:r>
              <w:t>.</w:t>
            </w:r>
            <w:r w:rsidRPr="00722FD1">
              <w:t xml:space="preserve"> </w:t>
            </w:r>
          </w:p>
          <w:p w14:paraId="5D287D38" w14:textId="2E95D326" w:rsidR="00722FD1" w:rsidRPr="00722FD1" w:rsidRDefault="00722FD1" w:rsidP="00722FD1">
            <w:pPr>
              <w:spacing w:after="120"/>
              <w:ind w:left="330"/>
            </w:pPr>
            <w:r>
              <w:t>The</w:t>
            </w:r>
            <w:r w:rsidRPr="00722FD1">
              <w:t xml:space="preserve"> PFFP Pathways Conference featuring the campus 3 Minute Thesis/ 3 Minute Pitch competition </w:t>
            </w:r>
            <w:r>
              <w:t xml:space="preserve">will be </w:t>
            </w:r>
            <w:r w:rsidRPr="00722FD1">
              <w:t xml:space="preserve">November 13th. </w:t>
            </w:r>
          </w:p>
          <w:p w14:paraId="7558AFF2" w14:textId="4B449FC6" w:rsidR="00722FD1" w:rsidRPr="00722FD1" w:rsidRDefault="00722FD1" w:rsidP="00722FD1">
            <w:pPr>
              <w:spacing w:after="120"/>
              <w:ind w:left="330"/>
            </w:pPr>
            <w:proofErr w:type="spellStart"/>
            <w:r w:rsidRPr="00722FD1">
              <w:t>UPnGO</w:t>
            </w:r>
            <w:proofErr w:type="spellEnd"/>
            <w:r w:rsidRPr="00722FD1">
              <w:t>, McKinney Law School and OIA will cosponsor a session with university relations called “Know your rights: From Capitol Hill to Campus”, Nov. 7, 12-1pm</w:t>
            </w:r>
            <w:r>
              <w:t>.</w:t>
            </w:r>
            <w:r w:rsidRPr="00722FD1">
              <w:t xml:space="preserve">  </w:t>
            </w:r>
          </w:p>
          <w:p w14:paraId="6662D89D" w14:textId="2CA9FEB9" w:rsidR="00722FD1" w:rsidRPr="00722FD1" w:rsidRDefault="00722FD1" w:rsidP="00722FD1">
            <w:pPr>
              <w:spacing w:after="120"/>
              <w:ind w:left="330"/>
            </w:pPr>
            <w:r w:rsidRPr="00722FD1">
              <w:t>The GMC is looking for a new hourly student for Spring.</w:t>
            </w:r>
          </w:p>
          <w:p w14:paraId="791CE90E" w14:textId="0B1575FB" w:rsidR="00722FD1" w:rsidRPr="00722FD1" w:rsidRDefault="00722FD1" w:rsidP="00722FD1">
            <w:pPr>
              <w:spacing w:after="120"/>
              <w:ind w:left="330"/>
            </w:pPr>
            <w:r w:rsidRPr="00722FD1">
              <w:t xml:space="preserve">This semester </w:t>
            </w:r>
            <w:r>
              <w:t xml:space="preserve">the </w:t>
            </w:r>
            <w:r w:rsidRPr="00722FD1">
              <w:t>Write on Site Writing Group with Univ</w:t>
            </w:r>
            <w:r>
              <w:t>ersity</w:t>
            </w:r>
            <w:r w:rsidRPr="00722FD1">
              <w:t xml:space="preserve"> Writing Center</w:t>
            </w:r>
            <w:r>
              <w:t xml:space="preserve"> </w:t>
            </w:r>
            <w:r w:rsidRPr="00722FD1">
              <w:t>Writer’s Workshop sessions will be Tuesday’s and Thursday from 5-7pm hybrid.</w:t>
            </w:r>
          </w:p>
          <w:p w14:paraId="170DAF55" w14:textId="77777777" w:rsidR="00722FD1" w:rsidRDefault="00722FD1" w:rsidP="00722FD1">
            <w:pPr>
              <w:pStyle w:val="Standard1"/>
              <w:spacing w:after="120"/>
              <w:ind w:left="360"/>
            </w:pPr>
            <w:r>
              <w:t xml:space="preserve">The </w:t>
            </w:r>
            <w:r w:rsidRPr="00722FD1">
              <w:t xml:space="preserve">PFFP program is free and only </w:t>
            </w:r>
            <w:r>
              <w:t xml:space="preserve">requires a short application to get started. </w:t>
            </w:r>
          </w:p>
          <w:p w14:paraId="3F836191" w14:textId="448DB2E9" w:rsidR="009D0219" w:rsidRPr="009D0219" w:rsidRDefault="009D0219" w:rsidP="009D0219">
            <w:pPr>
              <w:pStyle w:val="Standard1"/>
              <w:spacing w:after="120"/>
              <w:ind w:left="360"/>
            </w:pPr>
            <w:r>
              <w:t xml:space="preserve">Dr. </w:t>
            </w:r>
            <w:r w:rsidRPr="009D0219">
              <w:t xml:space="preserve">Hardy will be temporarily taking over </w:t>
            </w:r>
            <w:r w:rsidR="00C039FE">
              <w:t xml:space="preserve">the </w:t>
            </w:r>
            <w:r w:rsidRPr="009D0219">
              <w:t>“What about grad school? “</w:t>
            </w:r>
            <w:proofErr w:type="gramStart"/>
            <w:r>
              <w:t>i</w:t>
            </w:r>
            <w:r w:rsidRPr="009D0219">
              <w:t>nfo</w:t>
            </w:r>
            <w:proofErr w:type="gramEnd"/>
            <w:r w:rsidRPr="009D0219">
              <w:t xml:space="preserve"> sessions for “Future Grad Jags” until a communications and recruitment director</w:t>
            </w:r>
            <w:r w:rsidR="00C039FE">
              <w:t xml:space="preserve"> is hired</w:t>
            </w:r>
            <w:r w:rsidRPr="009D0219">
              <w:t xml:space="preserve">. Grad tours continue monthly for prospective students.  </w:t>
            </w:r>
          </w:p>
          <w:p w14:paraId="7B14AAD8" w14:textId="0D70957B" w:rsidR="009D0219" w:rsidRDefault="009D0219" w:rsidP="00722FD1">
            <w:pPr>
              <w:pStyle w:val="Standard1"/>
              <w:spacing w:after="120"/>
              <w:ind w:left="360"/>
            </w:pPr>
            <w:r>
              <w:t>Hardy</w:t>
            </w:r>
            <w:r w:rsidRPr="009D0219">
              <w:t xml:space="preserve"> will be traveling to the Institute on Teaching and Mentoring Oct. 30-Nov 2nd and ABRCMS Nov. 19-23</w:t>
            </w:r>
          </w:p>
          <w:p w14:paraId="2E152223" w14:textId="77777777" w:rsidR="00722FD1" w:rsidRPr="00722FD1" w:rsidRDefault="003B207C" w:rsidP="00722FD1">
            <w:pPr>
              <w:pStyle w:val="Standard1"/>
              <w:spacing w:after="120"/>
              <w:ind w:left="360"/>
              <w:rPr>
                <w:i/>
                <w:iCs/>
              </w:rPr>
            </w:pPr>
            <w:r w:rsidRPr="00722FD1">
              <w:rPr>
                <w:i/>
                <w:iCs/>
              </w:rPr>
              <w:t>Graduate Mentoring Center (Randall Roper)</w:t>
            </w:r>
          </w:p>
          <w:p w14:paraId="21A368CB" w14:textId="25898290" w:rsidR="00722FD1" w:rsidRDefault="00722FD1" w:rsidP="00722FD1">
            <w:pPr>
              <w:spacing w:after="120"/>
              <w:ind w:left="360"/>
            </w:pPr>
            <w:bookmarkStart w:id="5" w:name="_Hlk212717427"/>
            <w:r w:rsidRPr="00722FD1">
              <w:t>Faculty and Staff Mentoring Dialogues</w:t>
            </w:r>
            <w:r>
              <w:t xml:space="preserve"> will be </w:t>
            </w:r>
            <w:bookmarkEnd w:id="5"/>
            <w:r w:rsidRPr="00784084">
              <w:t>January 6 and 7, 2026</w:t>
            </w:r>
            <w:r>
              <w:t xml:space="preserve"> from </w:t>
            </w:r>
            <w:r w:rsidRPr="00784084">
              <w:t>9 am to 1 pm each day</w:t>
            </w:r>
            <w:r>
              <w:t xml:space="preserve"> v</w:t>
            </w:r>
            <w:r w:rsidRPr="00784084">
              <w:t xml:space="preserve">ia </w:t>
            </w:r>
            <w:r>
              <w:t xml:space="preserve">Zoom with </w:t>
            </w:r>
            <w:r w:rsidRPr="00784084">
              <w:t>Keith Avin and Barb Pierce</w:t>
            </w:r>
            <w:r>
              <w:t xml:space="preserve"> as </w:t>
            </w:r>
            <w:r w:rsidRPr="00784084">
              <w:t xml:space="preserve">facilitators </w:t>
            </w:r>
          </w:p>
          <w:p w14:paraId="1D77A230" w14:textId="77777777" w:rsidR="00722FD1" w:rsidRDefault="00722FD1" w:rsidP="00722FD1">
            <w:pPr>
              <w:spacing w:after="120"/>
              <w:ind w:left="360"/>
            </w:pPr>
            <w:r>
              <w:t xml:space="preserve">The GMC continues to </w:t>
            </w:r>
            <w:r w:rsidRPr="00784084">
              <w:t>work with Schools and Departments to improve mentoring.</w:t>
            </w:r>
            <w:r>
              <w:t xml:space="preserve"> They </w:t>
            </w:r>
            <w:r w:rsidRPr="00784084">
              <w:t>have multiple trainings for graduate students and faculty. These sessions include 1</w:t>
            </w:r>
            <w:r>
              <w:t>-</w:t>
            </w:r>
            <w:r w:rsidRPr="00784084">
              <w:t xml:space="preserve">, </w:t>
            </w:r>
            <w:r>
              <w:t>-</w:t>
            </w:r>
            <w:r w:rsidRPr="00784084">
              <w:t>2, and 8</w:t>
            </w:r>
            <w:r>
              <w:t>-</w:t>
            </w:r>
            <w:r w:rsidRPr="00784084">
              <w:t xml:space="preserve">hour online and in person trainings. </w:t>
            </w:r>
          </w:p>
          <w:p w14:paraId="58A609E3" w14:textId="15026FB3" w:rsidR="003B207C" w:rsidRDefault="003B207C" w:rsidP="00722FD1">
            <w:pPr>
              <w:spacing w:after="120"/>
              <w:ind w:left="360"/>
            </w:pPr>
            <w:r w:rsidRPr="00722FD1">
              <w:rPr>
                <w:i/>
                <w:iCs/>
              </w:rPr>
              <w:t>Curriculum Subcommittee</w:t>
            </w:r>
            <w:r w:rsidR="00722FD1" w:rsidRPr="00722FD1">
              <w:rPr>
                <w:i/>
                <w:iCs/>
              </w:rPr>
              <w:t xml:space="preserve"> </w:t>
            </w:r>
            <w:r w:rsidR="00722FD1">
              <w:t xml:space="preserve">reviewed </w:t>
            </w:r>
            <w:r w:rsidR="009D0219">
              <w:t xml:space="preserve">32 courses, of which 5 were new courses and 27 were course changes. </w:t>
            </w:r>
            <w:proofErr w:type="gramStart"/>
            <w:r w:rsidR="009D0219">
              <w:t>Twenty eight</w:t>
            </w:r>
            <w:proofErr w:type="gramEnd"/>
            <w:r w:rsidR="009D0219">
              <w:t xml:space="preserve"> courses were approved, one was approved with contingencies, and 4 were not approved. November 1 is the deadline for courses to be in Dezra’s workflow in order to be considered for November’s committee meeting. November is the last month of 2025 the committee will review courses before they go on hiatus during December.</w:t>
            </w:r>
          </w:p>
        </w:tc>
        <w:tc>
          <w:tcPr>
            <w:tcW w:w="1350" w:type="dxa"/>
          </w:tcPr>
          <w:p w14:paraId="74D638BB" w14:textId="77777777" w:rsidR="003B207C" w:rsidRDefault="003B207C" w:rsidP="006C578B">
            <w:pPr>
              <w:pStyle w:val="Standard1"/>
              <w:tabs>
                <w:tab w:val="left" w:pos="72"/>
                <w:tab w:val="left" w:pos="2116"/>
              </w:tabs>
              <w:jc w:val="right"/>
            </w:pPr>
          </w:p>
        </w:tc>
      </w:tr>
      <w:tr w:rsidR="001276C3" w14:paraId="704A630D" w14:textId="77777777" w:rsidTr="008D5847">
        <w:tc>
          <w:tcPr>
            <w:tcW w:w="9828" w:type="dxa"/>
          </w:tcPr>
          <w:p w14:paraId="30ED997D" w14:textId="51AC7C93" w:rsidR="001276C3" w:rsidRDefault="001276C3" w:rsidP="006C578B">
            <w:pPr>
              <w:pStyle w:val="Standard1"/>
            </w:pPr>
            <w:r>
              <w:t>Consent Agenda</w:t>
            </w:r>
            <w:r w:rsidR="00BC189A">
              <w:t xml:space="preserve"> – all approved</w:t>
            </w:r>
          </w:p>
          <w:p w14:paraId="1E5D983A" w14:textId="77777777" w:rsidR="00D36BA8" w:rsidRDefault="00D36BA8" w:rsidP="00D36BA8">
            <w:pPr>
              <w:pStyle w:val="Standard1"/>
              <w:numPr>
                <w:ilvl w:val="0"/>
                <w:numId w:val="5"/>
              </w:numPr>
            </w:pPr>
            <w:r>
              <w:t>Changes to the PhD Epidemiology plan of study in the Fairbanks School of Public Health</w:t>
            </w:r>
          </w:p>
          <w:p w14:paraId="07A5B534" w14:textId="259F2EC5" w:rsidR="00D36BA8" w:rsidRDefault="00D36BA8" w:rsidP="00D36BA8">
            <w:pPr>
              <w:pStyle w:val="Standard1"/>
              <w:numPr>
                <w:ilvl w:val="0"/>
                <w:numId w:val="5"/>
              </w:numPr>
            </w:pPr>
            <w:r>
              <w:t xml:space="preserve">Credit hour changes to the graduate certificate in Strategic </w:t>
            </w:r>
            <w:r w:rsidR="00FB32D9">
              <w:t>Human Resource</w:t>
            </w:r>
            <w:r>
              <w:t xml:space="preserve"> Management in the O’Neill School of Public and Environmental Affairs</w:t>
            </w:r>
          </w:p>
          <w:p w14:paraId="1EC2C6DC" w14:textId="5B696822" w:rsidR="001276C3" w:rsidRPr="00520B88" w:rsidRDefault="00E75512" w:rsidP="00D36BA8">
            <w:pPr>
              <w:pStyle w:val="Standard1"/>
              <w:numPr>
                <w:ilvl w:val="0"/>
                <w:numId w:val="5"/>
              </w:numPr>
            </w:pPr>
            <w:r>
              <w:t>N</w:t>
            </w:r>
            <w:r w:rsidR="00D36BA8">
              <w:t>ew Educational Technology for Learning track within the MSED Teaching, Learning, and Curriculum program in the School of Education</w:t>
            </w:r>
          </w:p>
        </w:tc>
        <w:tc>
          <w:tcPr>
            <w:tcW w:w="1350" w:type="dxa"/>
          </w:tcPr>
          <w:p w14:paraId="3153A0BE" w14:textId="4E71733E" w:rsidR="001276C3" w:rsidRDefault="00D00EB1" w:rsidP="006C578B">
            <w:pPr>
              <w:pStyle w:val="Standard1"/>
              <w:tabs>
                <w:tab w:val="left" w:pos="72"/>
              </w:tabs>
              <w:jc w:val="right"/>
            </w:pPr>
            <w:r>
              <w:t>Avin</w:t>
            </w:r>
          </w:p>
        </w:tc>
      </w:tr>
      <w:tr w:rsidR="00F73099" w14:paraId="73222C6F" w14:textId="77777777" w:rsidTr="008D5847">
        <w:tc>
          <w:tcPr>
            <w:tcW w:w="11178" w:type="dxa"/>
            <w:gridSpan w:val="2"/>
          </w:tcPr>
          <w:p w14:paraId="348821B6" w14:textId="77777777" w:rsidR="003B207C" w:rsidRDefault="00D00EB1" w:rsidP="00604182">
            <w:pPr>
              <w:pStyle w:val="Standard1"/>
            </w:pPr>
            <w:r>
              <w:t>Informational Items:</w:t>
            </w:r>
          </w:p>
          <w:p w14:paraId="63AD964F" w14:textId="77777777" w:rsidR="006008C7" w:rsidRDefault="006008C7" w:rsidP="00604182">
            <w:pPr>
              <w:pStyle w:val="Standard1"/>
            </w:pPr>
            <w:r>
              <w:t xml:space="preserve">The Graduate School administratively approved the following eliminations and suspensions: </w:t>
            </w:r>
          </w:p>
          <w:p w14:paraId="423442EB" w14:textId="6474539F" w:rsidR="006008C7" w:rsidRPr="00C73D45" w:rsidRDefault="006008C7" w:rsidP="006008C7">
            <w:pPr>
              <w:pStyle w:val="Standard1"/>
              <w:numPr>
                <w:ilvl w:val="0"/>
                <w:numId w:val="5"/>
              </w:numPr>
            </w:pPr>
            <w:r w:rsidRPr="00C73D45">
              <w:t>Susp</w:t>
            </w:r>
            <w:r>
              <w:t>ension of the</w:t>
            </w:r>
            <w:r w:rsidRPr="00C73D45">
              <w:t xml:space="preserve"> MSED Educational Technology for Learning</w:t>
            </w:r>
            <w:r>
              <w:t xml:space="preserve"> program in the School of Education</w:t>
            </w:r>
          </w:p>
          <w:p w14:paraId="156C343C" w14:textId="77777777" w:rsidR="006008C7" w:rsidRDefault="006008C7" w:rsidP="006008C7">
            <w:pPr>
              <w:pStyle w:val="Standard1"/>
              <w:numPr>
                <w:ilvl w:val="0"/>
                <w:numId w:val="5"/>
              </w:numPr>
            </w:pPr>
            <w:r>
              <w:t xml:space="preserve">Elimination of the following tracks in the MSN program, the </w:t>
            </w:r>
            <w:proofErr w:type="gramStart"/>
            <w:r>
              <w:t>Post-MSN</w:t>
            </w:r>
            <w:proofErr w:type="gramEnd"/>
            <w:r>
              <w:t xml:space="preserve"> certificate, and the DNP program in the School of Nursing:</w:t>
            </w:r>
          </w:p>
          <w:p w14:paraId="731CABF9" w14:textId="3E04909C" w:rsidR="006008C7" w:rsidRPr="00C73D45" w:rsidRDefault="006008C7" w:rsidP="006008C7">
            <w:pPr>
              <w:pStyle w:val="Standard1"/>
              <w:numPr>
                <w:ilvl w:val="1"/>
                <w:numId w:val="5"/>
              </w:numPr>
            </w:pPr>
            <w:r w:rsidRPr="00192412">
              <w:rPr>
                <w:color w:val="000000"/>
              </w:rPr>
              <w:t>Nursing Leadership in Health System</w:t>
            </w:r>
            <w:r>
              <w:rPr>
                <w:color w:val="000000"/>
              </w:rPr>
              <w:t xml:space="preserve"> (MSN)</w:t>
            </w:r>
            <w:r w:rsidR="009F2812">
              <w:rPr>
                <w:color w:val="000000"/>
              </w:rPr>
              <w:t xml:space="preserve"> (NURADMSN)</w:t>
            </w:r>
          </w:p>
          <w:p w14:paraId="2DFE68EB" w14:textId="3CB9D91A" w:rsidR="006008C7" w:rsidRPr="0053427C" w:rsidRDefault="006008C7" w:rsidP="006008C7">
            <w:pPr>
              <w:pStyle w:val="Standard1"/>
              <w:numPr>
                <w:ilvl w:val="1"/>
                <w:numId w:val="5"/>
              </w:numPr>
            </w:pPr>
            <w:r w:rsidRPr="00192412">
              <w:rPr>
                <w:color w:val="000000"/>
              </w:rPr>
              <w:t>Adult Gerontology Primary Care Nurse Practitioner</w:t>
            </w:r>
            <w:r>
              <w:rPr>
                <w:color w:val="000000"/>
              </w:rPr>
              <w:t xml:space="preserve"> (MSN)</w:t>
            </w:r>
            <w:r w:rsidR="009F2812">
              <w:rPr>
                <w:color w:val="000000"/>
              </w:rPr>
              <w:t xml:space="preserve"> (ANPMSN)</w:t>
            </w:r>
          </w:p>
          <w:p w14:paraId="140BC3C9" w14:textId="5C09C583" w:rsidR="006008C7" w:rsidRPr="0053427C" w:rsidRDefault="006008C7" w:rsidP="006008C7">
            <w:pPr>
              <w:pStyle w:val="Standard1"/>
              <w:numPr>
                <w:ilvl w:val="1"/>
                <w:numId w:val="5"/>
              </w:numPr>
            </w:pPr>
            <w:r w:rsidRPr="00192412">
              <w:rPr>
                <w:color w:val="000000"/>
              </w:rPr>
              <w:t>Adult Gerontology Primary Care Nurse Practitioner Post-Master's Certificate</w:t>
            </w:r>
            <w:r>
              <w:rPr>
                <w:color w:val="000000"/>
              </w:rPr>
              <w:t xml:space="preserve"> (Post MSN certificate)</w:t>
            </w:r>
            <w:r w:rsidR="009F2812">
              <w:rPr>
                <w:color w:val="000000"/>
              </w:rPr>
              <w:t xml:space="preserve"> (AGPCNPPMC)</w:t>
            </w:r>
          </w:p>
          <w:p w14:paraId="2262A347" w14:textId="46012DBE" w:rsidR="006008C7" w:rsidRPr="0053427C" w:rsidRDefault="006008C7" w:rsidP="006008C7">
            <w:pPr>
              <w:pStyle w:val="Standard1"/>
              <w:numPr>
                <w:ilvl w:val="1"/>
                <w:numId w:val="5"/>
              </w:numPr>
            </w:pPr>
            <w:r w:rsidRPr="00192412">
              <w:rPr>
                <w:color w:val="000000"/>
              </w:rPr>
              <w:t>MSN/DNP Dual Degree</w:t>
            </w:r>
            <w:r w:rsidR="009F2812">
              <w:rPr>
                <w:color w:val="000000"/>
              </w:rPr>
              <w:t xml:space="preserve"> (</w:t>
            </w:r>
            <w:r w:rsidR="00EB282F">
              <w:rPr>
                <w:color w:val="000000"/>
              </w:rPr>
              <w:t>NUDUALTRK</w:t>
            </w:r>
            <w:r w:rsidR="009F2812">
              <w:rPr>
                <w:color w:val="000000"/>
              </w:rPr>
              <w:t>)</w:t>
            </w:r>
          </w:p>
          <w:p w14:paraId="3D1EA98B" w14:textId="77777777" w:rsidR="006008C7" w:rsidRDefault="006008C7" w:rsidP="006008C7">
            <w:pPr>
              <w:pStyle w:val="Standard1"/>
              <w:numPr>
                <w:ilvl w:val="0"/>
                <w:numId w:val="5"/>
              </w:numPr>
            </w:pPr>
            <w:r>
              <w:rPr>
                <w:color w:val="000000"/>
              </w:rPr>
              <w:t xml:space="preserve">Suspension of the following </w:t>
            </w:r>
            <w:r>
              <w:t>tracks in the MSN program in the School of Nursing</w:t>
            </w:r>
          </w:p>
          <w:p w14:paraId="5C5B0FAA" w14:textId="3F471F7E" w:rsidR="006008C7" w:rsidRPr="0053427C" w:rsidRDefault="006008C7" w:rsidP="006008C7">
            <w:pPr>
              <w:pStyle w:val="Standard1"/>
              <w:numPr>
                <w:ilvl w:val="1"/>
                <w:numId w:val="5"/>
              </w:numPr>
            </w:pPr>
            <w:r w:rsidRPr="00192412">
              <w:rPr>
                <w:color w:val="000000"/>
              </w:rPr>
              <w:t>Pediatric Clinical Nurse Specialist</w:t>
            </w:r>
            <w:r w:rsidR="009F2812">
              <w:rPr>
                <w:color w:val="000000"/>
              </w:rPr>
              <w:t xml:space="preserve"> (PEDCLMSN)</w:t>
            </w:r>
          </w:p>
          <w:p w14:paraId="2C74C241" w14:textId="337D2245" w:rsidR="006008C7" w:rsidRPr="0053427C" w:rsidRDefault="006008C7" w:rsidP="006008C7">
            <w:pPr>
              <w:pStyle w:val="Standard1"/>
              <w:numPr>
                <w:ilvl w:val="1"/>
                <w:numId w:val="5"/>
              </w:numPr>
            </w:pPr>
            <w:r w:rsidRPr="00192412">
              <w:rPr>
                <w:color w:val="000000"/>
              </w:rPr>
              <w:t>Post-Graduate APRN Certificate-Pediatric Clinical Nurse Specialist</w:t>
            </w:r>
            <w:r w:rsidR="009F2812">
              <w:rPr>
                <w:color w:val="000000"/>
              </w:rPr>
              <w:t xml:space="preserve"> (PCNSPMC)</w:t>
            </w:r>
          </w:p>
          <w:p w14:paraId="164CF4C2" w14:textId="2DE38EBE" w:rsidR="006008C7" w:rsidRPr="0053427C" w:rsidRDefault="006008C7" w:rsidP="006008C7">
            <w:pPr>
              <w:pStyle w:val="Standard1"/>
              <w:numPr>
                <w:ilvl w:val="1"/>
                <w:numId w:val="5"/>
              </w:numPr>
            </w:pPr>
            <w:r w:rsidRPr="00192412">
              <w:rPr>
                <w:color w:val="000000"/>
              </w:rPr>
              <w:t>Adult-Gerontology Acute Care Nurse Practitioner</w:t>
            </w:r>
            <w:r w:rsidR="009F2812">
              <w:rPr>
                <w:color w:val="000000"/>
              </w:rPr>
              <w:t xml:space="preserve"> (ACCNPMSN)</w:t>
            </w:r>
          </w:p>
          <w:p w14:paraId="21567259" w14:textId="57EF69A8" w:rsidR="006008C7" w:rsidRPr="0053427C" w:rsidRDefault="006008C7" w:rsidP="006008C7">
            <w:pPr>
              <w:pStyle w:val="Standard1"/>
              <w:numPr>
                <w:ilvl w:val="1"/>
                <w:numId w:val="5"/>
              </w:numPr>
            </w:pPr>
            <w:r w:rsidRPr="00192412">
              <w:rPr>
                <w:color w:val="000000"/>
              </w:rPr>
              <w:lastRenderedPageBreak/>
              <w:t>Family Nurse Practitioner</w:t>
            </w:r>
            <w:r w:rsidR="009F2812">
              <w:rPr>
                <w:color w:val="000000"/>
              </w:rPr>
              <w:t xml:space="preserve"> (FAMNUMSN)</w:t>
            </w:r>
          </w:p>
          <w:p w14:paraId="0C6D78D5" w14:textId="29BB7111" w:rsidR="006008C7" w:rsidRPr="0053427C" w:rsidRDefault="006008C7" w:rsidP="006008C7">
            <w:pPr>
              <w:pStyle w:val="Standard1"/>
              <w:numPr>
                <w:ilvl w:val="1"/>
                <w:numId w:val="5"/>
              </w:numPr>
            </w:pPr>
            <w:r w:rsidRPr="00192412">
              <w:rPr>
                <w:color w:val="000000"/>
              </w:rPr>
              <w:t>Pediatric Primary Care Nurse Practitioner</w:t>
            </w:r>
            <w:r w:rsidR="009F2812">
              <w:rPr>
                <w:color w:val="000000"/>
              </w:rPr>
              <w:t xml:space="preserve"> (PNPMSN)</w:t>
            </w:r>
          </w:p>
          <w:p w14:paraId="3B2AC707" w14:textId="44E03F34" w:rsidR="006008C7" w:rsidRDefault="006008C7" w:rsidP="006008C7">
            <w:pPr>
              <w:pStyle w:val="Standard1"/>
              <w:numPr>
                <w:ilvl w:val="1"/>
                <w:numId w:val="5"/>
              </w:numPr>
            </w:pPr>
            <w:r w:rsidRPr="00192412">
              <w:rPr>
                <w:color w:val="000000"/>
              </w:rPr>
              <w:t>Psychiatric-Mental Health Nurse Practitioner</w:t>
            </w:r>
            <w:r w:rsidR="009F2812">
              <w:rPr>
                <w:color w:val="000000"/>
              </w:rPr>
              <w:t xml:space="preserve"> (PSYCHMSN)</w:t>
            </w:r>
          </w:p>
        </w:tc>
      </w:tr>
    </w:tbl>
    <w:p w14:paraId="7E204A73" w14:textId="791172D9" w:rsidR="001276C3" w:rsidRPr="001276C3" w:rsidRDefault="00604182" w:rsidP="006C578B">
      <w:pPr>
        <w:rPr>
          <w:sz w:val="28"/>
          <w:szCs w:val="28"/>
        </w:rPr>
      </w:pPr>
      <w:r>
        <w:lastRenderedPageBreak/>
        <w:t>Next Meeting and Adjournment (</w:t>
      </w:r>
      <w:r w:rsidR="009B3AE5" w:rsidRPr="009B3AE5">
        <w:rPr>
          <w:bCs/>
        </w:rPr>
        <w:t>November 25, 2025</w:t>
      </w:r>
      <w:r w:rsidR="00D00EB1" w:rsidRPr="009B3AE5">
        <w:rPr>
          <w:bCs/>
        </w:rPr>
        <w:t xml:space="preserve">; </w:t>
      </w:r>
      <w:r w:rsidR="009B3AE5" w:rsidRPr="009B3AE5">
        <w:rPr>
          <w:bCs/>
        </w:rPr>
        <w:t>1:30pm</w:t>
      </w:r>
      <w:r w:rsidR="00D00EB1" w:rsidRPr="009B3AE5">
        <w:rPr>
          <w:bCs/>
        </w:rPr>
        <w:t xml:space="preserve">; </w:t>
      </w:r>
      <w:r w:rsidR="009B3AE5" w:rsidRPr="009B3AE5">
        <w:rPr>
          <w:bCs/>
        </w:rPr>
        <w:t>Ashby Browsing Room</w:t>
      </w:r>
      <w:r w:rsidR="00C039FE">
        <w:rPr>
          <w:bCs/>
        </w:rPr>
        <w:t xml:space="preserve"> – online also available</w:t>
      </w:r>
      <w:r w:rsidRPr="009B3AE5">
        <w:rPr>
          <w:bCs/>
        </w:rPr>
        <w:t>)</w:t>
      </w:r>
    </w:p>
    <w:sectPr w:rsidR="001276C3" w:rsidRPr="001276C3"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2ADD"/>
    <w:multiLevelType w:val="hybridMultilevel"/>
    <w:tmpl w:val="5A30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C5832"/>
    <w:multiLevelType w:val="hybridMultilevel"/>
    <w:tmpl w:val="6A0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D26DC"/>
    <w:multiLevelType w:val="hybridMultilevel"/>
    <w:tmpl w:val="EA0C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A571C"/>
    <w:multiLevelType w:val="hybridMultilevel"/>
    <w:tmpl w:val="53C2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849783">
    <w:abstractNumId w:val="3"/>
  </w:num>
  <w:num w:numId="2" w16cid:durableId="10380836">
    <w:abstractNumId w:val="0"/>
  </w:num>
  <w:num w:numId="3" w16cid:durableId="1125809347">
    <w:abstractNumId w:val="2"/>
  </w:num>
  <w:num w:numId="4" w16cid:durableId="1321884558">
    <w:abstractNumId w:val="6"/>
  </w:num>
  <w:num w:numId="5" w16cid:durableId="369038147">
    <w:abstractNumId w:val="7"/>
  </w:num>
  <w:num w:numId="6" w16cid:durableId="554195038">
    <w:abstractNumId w:val="7"/>
  </w:num>
  <w:num w:numId="7" w16cid:durableId="1759255398">
    <w:abstractNumId w:val="4"/>
  </w:num>
  <w:num w:numId="8" w16cid:durableId="107555075">
    <w:abstractNumId w:val="1"/>
  </w:num>
  <w:num w:numId="9" w16cid:durableId="60681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03000"/>
    <w:rsid w:val="000114CD"/>
    <w:rsid w:val="00011B72"/>
    <w:rsid w:val="00023A7D"/>
    <w:rsid w:val="000623DA"/>
    <w:rsid w:val="000641D1"/>
    <w:rsid w:val="00073135"/>
    <w:rsid w:val="0007572D"/>
    <w:rsid w:val="000765FE"/>
    <w:rsid w:val="00091E13"/>
    <w:rsid w:val="000B205A"/>
    <w:rsid w:val="000B2609"/>
    <w:rsid w:val="000B324D"/>
    <w:rsid w:val="000C0F0B"/>
    <w:rsid w:val="000C1FEB"/>
    <w:rsid w:val="000C2817"/>
    <w:rsid w:val="000C424D"/>
    <w:rsid w:val="000C7458"/>
    <w:rsid w:val="000D29B9"/>
    <w:rsid w:val="000D5500"/>
    <w:rsid w:val="000E1E0D"/>
    <w:rsid w:val="000F1043"/>
    <w:rsid w:val="00113979"/>
    <w:rsid w:val="00120431"/>
    <w:rsid w:val="001276C3"/>
    <w:rsid w:val="00141F0E"/>
    <w:rsid w:val="0014692B"/>
    <w:rsid w:val="0015789B"/>
    <w:rsid w:val="00181C5D"/>
    <w:rsid w:val="001B118D"/>
    <w:rsid w:val="001B7575"/>
    <w:rsid w:val="001C2BAF"/>
    <w:rsid w:val="001D01D2"/>
    <w:rsid w:val="001D72C8"/>
    <w:rsid w:val="001F4EF7"/>
    <w:rsid w:val="00207F81"/>
    <w:rsid w:val="00255652"/>
    <w:rsid w:val="00262672"/>
    <w:rsid w:val="00270A62"/>
    <w:rsid w:val="0028530A"/>
    <w:rsid w:val="002927FD"/>
    <w:rsid w:val="00294FF1"/>
    <w:rsid w:val="002B068C"/>
    <w:rsid w:val="002B7C72"/>
    <w:rsid w:val="002C5071"/>
    <w:rsid w:val="002D7299"/>
    <w:rsid w:val="002E0959"/>
    <w:rsid w:val="002E09C0"/>
    <w:rsid w:val="002E446F"/>
    <w:rsid w:val="002E65D9"/>
    <w:rsid w:val="002F2A5F"/>
    <w:rsid w:val="002F7460"/>
    <w:rsid w:val="00311ABD"/>
    <w:rsid w:val="00317EC3"/>
    <w:rsid w:val="0032242A"/>
    <w:rsid w:val="003314DC"/>
    <w:rsid w:val="003562C8"/>
    <w:rsid w:val="00357136"/>
    <w:rsid w:val="00357FE0"/>
    <w:rsid w:val="003810CF"/>
    <w:rsid w:val="00386408"/>
    <w:rsid w:val="00386AD2"/>
    <w:rsid w:val="00391363"/>
    <w:rsid w:val="003A5466"/>
    <w:rsid w:val="003B207C"/>
    <w:rsid w:val="003C5BC8"/>
    <w:rsid w:val="003C775E"/>
    <w:rsid w:val="003E5709"/>
    <w:rsid w:val="003F06FF"/>
    <w:rsid w:val="003F54EA"/>
    <w:rsid w:val="003F6524"/>
    <w:rsid w:val="00400A60"/>
    <w:rsid w:val="004019AB"/>
    <w:rsid w:val="00412C2E"/>
    <w:rsid w:val="004151A2"/>
    <w:rsid w:val="00415C27"/>
    <w:rsid w:val="00416412"/>
    <w:rsid w:val="00424B8F"/>
    <w:rsid w:val="004368C8"/>
    <w:rsid w:val="004408FD"/>
    <w:rsid w:val="004433B0"/>
    <w:rsid w:val="004655DC"/>
    <w:rsid w:val="00472546"/>
    <w:rsid w:val="00475127"/>
    <w:rsid w:val="00477E24"/>
    <w:rsid w:val="004968D3"/>
    <w:rsid w:val="004A16DB"/>
    <w:rsid w:val="004A3ED8"/>
    <w:rsid w:val="004B2C66"/>
    <w:rsid w:val="004C47D3"/>
    <w:rsid w:val="004C71FD"/>
    <w:rsid w:val="004D5CFD"/>
    <w:rsid w:val="004D7ED5"/>
    <w:rsid w:val="004F14CF"/>
    <w:rsid w:val="004F670D"/>
    <w:rsid w:val="0050422E"/>
    <w:rsid w:val="00520B88"/>
    <w:rsid w:val="00524AB4"/>
    <w:rsid w:val="00561E83"/>
    <w:rsid w:val="00575BE9"/>
    <w:rsid w:val="00584642"/>
    <w:rsid w:val="00594956"/>
    <w:rsid w:val="005C319A"/>
    <w:rsid w:val="005D140C"/>
    <w:rsid w:val="005D2307"/>
    <w:rsid w:val="006008C7"/>
    <w:rsid w:val="00604182"/>
    <w:rsid w:val="0061612B"/>
    <w:rsid w:val="0062018B"/>
    <w:rsid w:val="0063634E"/>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A64A7"/>
    <w:rsid w:val="006C0A5A"/>
    <w:rsid w:val="006C25AC"/>
    <w:rsid w:val="006C43E7"/>
    <w:rsid w:val="006C56B6"/>
    <w:rsid w:val="006C578B"/>
    <w:rsid w:val="006C7DB7"/>
    <w:rsid w:val="006D57FA"/>
    <w:rsid w:val="006E0635"/>
    <w:rsid w:val="006F3CD5"/>
    <w:rsid w:val="006F4FAA"/>
    <w:rsid w:val="006F63A6"/>
    <w:rsid w:val="00703F90"/>
    <w:rsid w:val="00711F21"/>
    <w:rsid w:val="00722FD1"/>
    <w:rsid w:val="0072555F"/>
    <w:rsid w:val="007366ED"/>
    <w:rsid w:val="00741B5D"/>
    <w:rsid w:val="00743DBB"/>
    <w:rsid w:val="00751CC3"/>
    <w:rsid w:val="00764FF6"/>
    <w:rsid w:val="007662F7"/>
    <w:rsid w:val="0076707B"/>
    <w:rsid w:val="007852CC"/>
    <w:rsid w:val="0079677B"/>
    <w:rsid w:val="007B57A2"/>
    <w:rsid w:val="007C0B2F"/>
    <w:rsid w:val="007C2BAB"/>
    <w:rsid w:val="007C3116"/>
    <w:rsid w:val="007D145A"/>
    <w:rsid w:val="007D73D2"/>
    <w:rsid w:val="007E19F9"/>
    <w:rsid w:val="007E23B1"/>
    <w:rsid w:val="007F7959"/>
    <w:rsid w:val="00802275"/>
    <w:rsid w:val="00814B94"/>
    <w:rsid w:val="00815FE8"/>
    <w:rsid w:val="008244E7"/>
    <w:rsid w:val="00842548"/>
    <w:rsid w:val="00856EC8"/>
    <w:rsid w:val="008978AE"/>
    <w:rsid w:val="008A4D8D"/>
    <w:rsid w:val="008A5F4F"/>
    <w:rsid w:val="008A7CFF"/>
    <w:rsid w:val="008A7E52"/>
    <w:rsid w:val="008B2366"/>
    <w:rsid w:val="008B5E39"/>
    <w:rsid w:val="008D5847"/>
    <w:rsid w:val="008F2AC3"/>
    <w:rsid w:val="008F5FA6"/>
    <w:rsid w:val="009105DE"/>
    <w:rsid w:val="00924283"/>
    <w:rsid w:val="00957C11"/>
    <w:rsid w:val="00967888"/>
    <w:rsid w:val="0098384D"/>
    <w:rsid w:val="009A5836"/>
    <w:rsid w:val="009B3AE5"/>
    <w:rsid w:val="009C3DBC"/>
    <w:rsid w:val="009C5370"/>
    <w:rsid w:val="009D0219"/>
    <w:rsid w:val="009D7B44"/>
    <w:rsid w:val="009E5D4F"/>
    <w:rsid w:val="009F056F"/>
    <w:rsid w:val="009F2812"/>
    <w:rsid w:val="009F759F"/>
    <w:rsid w:val="00A03032"/>
    <w:rsid w:val="00A11B8B"/>
    <w:rsid w:val="00A120A9"/>
    <w:rsid w:val="00A12251"/>
    <w:rsid w:val="00A17B30"/>
    <w:rsid w:val="00A2524B"/>
    <w:rsid w:val="00A255A8"/>
    <w:rsid w:val="00A263BE"/>
    <w:rsid w:val="00A32955"/>
    <w:rsid w:val="00A350DC"/>
    <w:rsid w:val="00A4113E"/>
    <w:rsid w:val="00A43AD7"/>
    <w:rsid w:val="00A442BD"/>
    <w:rsid w:val="00A552B5"/>
    <w:rsid w:val="00A70832"/>
    <w:rsid w:val="00A76952"/>
    <w:rsid w:val="00A90FD4"/>
    <w:rsid w:val="00A91D68"/>
    <w:rsid w:val="00A923DB"/>
    <w:rsid w:val="00A96EB0"/>
    <w:rsid w:val="00AA6E36"/>
    <w:rsid w:val="00AA70B4"/>
    <w:rsid w:val="00AC66C0"/>
    <w:rsid w:val="00AF58B4"/>
    <w:rsid w:val="00AF6BDC"/>
    <w:rsid w:val="00B0618B"/>
    <w:rsid w:val="00B10DC2"/>
    <w:rsid w:val="00B1128D"/>
    <w:rsid w:val="00B13996"/>
    <w:rsid w:val="00B23B83"/>
    <w:rsid w:val="00B357FB"/>
    <w:rsid w:val="00B35AE6"/>
    <w:rsid w:val="00B43F1F"/>
    <w:rsid w:val="00B46447"/>
    <w:rsid w:val="00B54A49"/>
    <w:rsid w:val="00B6644A"/>
    <w:rsid w:val="00B66BD4"/>
    <w:rsid w:val="00B66DCA"/>
    <w:rsid w:val="00B9120C"/>
    <w:rsid w:val="00B93F2B"/>
    <w:rsid w:val="00B94CA9"/>
    <w:rsid w:val="00BA081D"/>
    <w:rsid w:val="00BA6A08"/>
    <w:rsid w:val="00BC189A"/>
    <w:rsid w:val="00BC31DA"/>
    <w:rsid w:val="00BC5EE9"/>
    <w:rsid w:val="00BC7A14"/>
    <w:rsid w:val="00BD605A"/>
    <w:rsid w:val="00BF7BD0"/>
    <w:rsid w:val="00C039FE"/>
    <w:rsid w:val="00C03B80"/>
    <w:rsid w:val="00C057CD"/>
    <w:rsid w:val="00C32C98"/>
    <w:rsid w:val="00C354D5"/>
    <w:rsid w:val="00C4131F"/>
    <w:rsid w:val="00C45F55"/>
    <w:rsid w:val="00C75B3C"/>
    <w:rsid w:val="00C91E9E"/>
    <w:rsid w:val="00CA0519"/>
    <w:rsid w:val="00CC543C"/>
    <w:rsid w:val="00CE77DB"/>
    <w:rsid w:val="00D00EB1"/>
    <w:rsid w:val="00D010C4"/>
    <w:rsid w:val="00D21E52"/>
    <w:rsid w:val="00D36BA8"/>
    <w:rsid w:val="00D43104"/>
    <w:rsid w:val="00D53208"/>
    <w:rsid w:val="00D60A47"/>
    <w:rsid w:val="00D643BA"/>
    <w:rsid w:val="00D66AF9"/>
    <w:rsid w:val="00D67445"/>
    <w:rsid w:val="00DA41A9"/>
    <w:rsid w:val="00DA7C04"/>
    <w:rsid w:val="00DB48D2"/>
    <w:rsid w:val="00DC300D"/>
    <w:rsid w:val="00DC3317"/>
    <w:rsid w:val="00DC6A63"/>
    <w:rsid w:val="00DD20C0"/>
    <w:rsid w:val="00DE13B2"/>
    <w:rsid w:val="00DF6AC4"/>
    <w:rsid w:val="00E06E63"/>
    <w:rsid w:val="00E36BEA"/>
    <w:rsid w:val="00E536CA"/>
    <w:rsid w:val="00E65727"/>
    <w:rsid w:val="00E7222F"/>
    <w:rsid w:val="00E7392D"/>
    <w:rsid w:val="00E75512"/>
    <w:rsid w:val="00E8133F"/>
    <w:rsid w:val="00E81805"/>
    <w:rsid w:val="00E8523D"/>
    <w:rsid w:val="00E857F2"/>
    <w:rsid w:val="00EA25B9"/>
    <w:rsid w:val="00EA66FF"/>
    <w:rsid w:val="00EB282F"/>
    <w:rsid w:val="00EB7B1A"/>
    <w:rsid w:val="00F26D77"/>
    <w:rsid w:val="00F37C7D"/>
    <w:rsid w:val="00F73099"/>
    <w:rsid w:val="00FB32D9"/>
    <w:rsid w:val="00FC26BA"/>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iPriority w:val="99"/>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11B8B"/>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22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4321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1118</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2025-11-17T12:16:00Z</dcterms:created>
  <dcterms:modified xsi:type="dcterms:W3CDTF">2025-11-17T19:12:00Z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